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DA" w:rsidRPr="00A453DA" w:rsidRDefault="00A453DA" w:rsidP="00A453DA">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53DA">
        <w:rPr>
          <w:rFonts w:ascii="Times New Roman" w:eastAsia="Times New Roman" w:hAnsi="Times New Roman" w:cs="Times New Roman"/>
          <w:b/>
          <w:bCs/>
          <w:kern w:val="36"/>
          <w:sz w:val="48"/>
          <w:szCs w:val="48"/>
        </w:rPr>
        <w:t>Cost–Benefit Anal</w:t>
      </w:r>
      <w:bookmarkStart w:id="0" w:name="_GoBack"/>
      <w:bookmarkEnd w:id="0"/>
      <w:r w:rsidRPr="00A453DA">
        <w:rPr>
          <w:rFonts w:ascii="Times New Roman" w:eastAsia="Times New Roman" w:hAnsi="Times New Roman" w:cs="Times New Roman"/>
          <w:b/>
          <w:bCs/>
          <w:kern w:val="36"/>
          <w:sz w:val="48"/>
          <w:szCs w:val="48"/>
        </w:rPr>
        <w:t>ysis of Human Papillomavirus Vaccine in Iran</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6" w:anchor="auth-Nasrin-Sargazi-Aff1" w:history="1">
        <w:proofErr w:type="spellStart"/>
        <w:r w:rsidRPr="00A453DA">
          <w:rPr>
            <w:rFonts w:ascii="Times New Roman" w:eastAsia="Times New Roman" w:hAnsi="Times New Roman" w:cs="Times New Roman"/>
            <w:color w:val="0000FF"/>
            <w:sz w:val="24"/>
            <w:szCs w:val="24"/>
            <w:u w:val="single"/>
          </w:rPr>
          <w:t>Nasrin</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Sargazi</w:t>
        </w:r>
        <w:proofErr w:type="spellEnd"/>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7" w:anchor="auth-Amirhossein-Takian-Aff1-Aff2-Aff3" w:history="1">
        <w:proofErr w:type="spellStart"/>
        <w:r w:rsidRPr="00A453DA">
          <w:rPr>
            <w:rFonts w:ascii="Times New Roman" w:eastAsia="Times New Roman" w:hAnsi="Times New Roman" w:cs="Times New Roman"/>
            <w:color w:val="0000FF"/>
            <w:sz w:val="24"/>
            <w:szCs w:val="24"/>
            <w:u w:val="single"/>
          </w:rPr>
          <w:t>Amirhossein</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Takian</w:t>
        </w:r>
        <w:proofErr w:type="spellEnd"/>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8" w:anchor="auth-Rajabali-Daroudi-Aff1" w:history="1">
        <w:proofErr w:type="spellStart"/>
        <w:r w:rsidRPr="00A453DA">
          <w:rPr>
            <w:rFonts w:ascii="Times New Roman" w:eastAsia="Times New Roman" w:hAnsi="Times New Roman" w:cs="Times New Roman"/>
            <w:color w:val="0000FF"/>
            <w:sz w:val="24"/>
            <w:szCs w:val="24"/>
            <w:u w:val="single"/>
          </w:rPr>
          <w:t>Rajabali</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Daroudi</w:t>
        </w:r>
        <w:proofErr w:type="spellEnd"/>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9" w:anchor="auth-Azin-Nahvijou-Aff4" w:history="1">
        <w:proofErr w:type="spellStart"/>
        <w:r w:rsidRPr="00A453DA">
          <w:rPr>
            <w:rFonts w:ascii="Times New Roman" w:eastAsia="Times New Roman" w:hAnsi="Times New Roman" w:cs="Times New Roman"/>
            <w:color w:val="0000FF"/>
            <w:sz w:val="24"/>
            <w:szCs w:val="24"/>
            <w:u w:val="single"/>
          </w:rPr>
          <w:t>Azin</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Nahvijou</w:t>
        </w:r>
        <w:proofErr w:type="spellEnd"/>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0" w:anchor="auth-Mehdi-Yaseri-Aff5" w:history="1">
        <w:r w:rsidRPr="00A453DA">
          <w:rPr>
            <w:rFonts w:ascii="Times New Roman" w:eastAsia="Times New Roman" w:hAnsi="Times New Roman" w:cs="Times New Roman"/>
            <w:color w:val="0000FF"/>
            <w:sz w:val="24"/>
            <w:szCs w:val="24"/>
            <w:u w:val="single"/>
          </w:rPr>
          <w:t xml:space="preserve">Mehdi </w:t>
        </w:r>
        <w:proofErr w:type="spellStart"/>
        <w:r w:rsidRPr="00A453DA">
          <w:rPr>
            <w:rFonts w:ascii="Times New Roman" w:eastAsia="Times New Roman" w:hAnsi="Times New Roman" w:cs="Times New Roman"/>
            <w:color w:val="0000FF"/>
            <w:sz w:val="24"/>
            <w:szCs w:val="24"/>
            <w:u w:val="single"/>
          </w:rPr>
          <w:t>Yaseri</w:t>
        </w:r>
        <w:proofErr w:type="spellEnd"/>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1" w:anchor="auth-Ali-Ghanbari_Motlagh-Aff6-Aff7" w:history="1">
        <w:r w:rsidRPr="00A453DA">
          <w:rPr>
            <w:rFonts w:ascii="Times New Roman" w:eastAsia="Times New Roman" w:hAnsi="Times New Roman" w:cs="Times New Roman"/>
            <w:color w:val="0000FF"/>
            <w:sz w:val="24"/>
            <w:szCs w:val="24"/>
            <w:u w:val="single"/>
          </w:rPr>
          <w:t xml:space="preserve">Ali </w:t>
        </w:r>
        <w:proofErr w:type="spellStart"/>
        <w:r w:rsidRPr="00A453DA">
          <w:rPr>
            <w:rFonts w:ascii="Times New Roman" w:eastAsia="Times New Roman" w:hAnsi="Times New Roman" w:cs="Times New Roman"/>
            <w:color w:val="0000FF"/>
            <w:sz w:val="24"/>
            <w:szCs w:val="24"/>
            <w:u w:val="single"/>
          </w:rPr>
          <w:t>Ghanbari</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Motlagh</w:t>
        </w:r>
        <w:proofErr w:type="spellEnd"/>
      </w:hyperlink>
      <w:r w:rsidRPr="00A453DA">
        <w:rPr>
          <w:rFonts w:ascii="Times New Roman" w:eastAsia="Times New Roman" w:hAnsi="Times New Roman" w:cs="Times New Roman"/>
          <w:sz w:val="24"/>
          <w:szCs w:val="24"/>
        </w:rPr>
        <w:t xml:space="preserve"> &amp; </w:t>
      </w:r>
    </w:p>
    <w:p w:rsidR="00A453DA" w:rsidRPr="00A453DA" w:rsidRDefault="00A453DA" w:rsidP="00A453DA">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2" w:anchor="auth-Kazem-Zendehdel-Aff4-Aff8-Aff9" w:history="1">
        <w:proofErr w:type="spellStart"/>
        <w:r w:rsidRPr="00A453DA">
          <w:rPr>
            <w:rFonts w:ascii="Times New Roman" w:eastAsia="Times New Roman" w:hAnsi="Times New Roman" w:cs="Times New Roman"/>
            <w:color w:val="0000FF"/>
            <w:sz w:val="24"/>
            <w:szCs w:val="24"/>
            <w:u w:val="single"/>
          </w:rPr>
          <w:t>Kazem</w:t>
        </w:r>
        <w:proofErr w:type="spellEnd"/>
        <w:r w:rsidRPr="00A453DA">
          <w:rPr>
            <w:rFonts w:ascii="Times New Roman" w:eastAsia="Times New Roman" w:hAnsi="Times New Roman" w:cs="Times New Roman"/>
            <w:color w:val="0000FF"/>
            <w:sz w:val="24"/>
            <w:szCs w:val="24"/>
            <w:u w:val="single"/>
          </w:rPr>
          <w:t xml:space="preserve"> </w:t>
        </w:r>
        <w:proofErr w:type="spellStart"/>
        <w:r w:rsidRPr="00A453DA">
          <w:rPr>
            <w:rFonts w:ascii="Times New Roman" w:eastAsia="Times New Roman" w:hAnsi="Times New Roman" w:cs="Times New Roman"/>
            <w:color w:val="0000FF"/>
            <w:sz w:val="24"/>
            <w:szCs w:val="24"/>
            <w:u w:val="single"/>
          </w:rPr>
          <w:t>Zendehdel</w:t>
        </w:r>
        <w:proofErr w:type="spellEnd"/>
      </w:hyperlink>
      <w:r w:rsidRPr="00A453DA">
        <w:rPr>
          <w:rFonts w:ascii="Times New Roman" w:eastAsia="Times New Roman" w:hAnsi="Times New Roman" w:cs="Times New Roman"/>
          <w:sz w:val="24"/>
          <w:szCs w:val="24"/>
        </w:rPr>
        <w:t> Cancer Research Center of Cancer Institute, Tehran University of Medical Sciences (TUMS), Tehran, Iran</w:t>
      </w:r>
    </w:p>
    <w:p w:rsidR="00A453DA" w:rsidRPr="00A453DA" w:rsidRDefault="00A453DA" w:rsidP="00A453DA">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A453DA">
        <w:rPr>
          <w:rFonts w:ascii="Times New Roman" w:eastAsia="Times New Roman" w:hAnsi="Times New Roman" w:cs="Times New Roman"/>
          <w:sz w:val="24"/>
          <w:szCs w:val="24"/>
        </w:rPr>
        <w:t>Cancer Biology Research Center, of Cancer Institute, Tehran University of Medical Sciences (TUMS), Tehran, Iran</w:t>
      </w:r>
    </w:p>
    <w:p w:rsidR="00A453DA" w:rsidRPr="00A453DA" w:rsidRDefault="00A453DA" w:rsidP="00A453DA">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A453DA">
        <w:rPr>
          <w:rFonts w:ascii="Times New Roman" w:eastAsia="Times New Roman" w:hAnsi="Times New Roman" w:cs="Times New Roman"/>
          <w:sz w:val="24"/>
          <w:szCs w:val="24"/>
        </w:rPr>
        <w:t>Breast Diseases Research Center, Cancer Institute of Iran, Tehran University of Medical Sciences (TUMS), Tehran, Iran</w:t>
      </w:r>
    </w:p>
    <w:p w:rsidR="00A453DA" w:rsidRPr="00A453DA" w:rsidRDefault="00A453DA" w:rsidP="00A453D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A453DA" w:rsidRPr="00A453DA" w:rsidRDefault="00A453DA" w:rsidP="00A453DA">
      <w:pPr>
        <w:bidi w:val="0"/>
        <w:spacing w:before="100" w:beforeAutospacing="1" w:after="100" w:afterAutospacing="1" w:line="240" w:lineRule="auto"/>
        <w:rPr>
          <w:rFonts w:ascii="Times New Roman" w:eastAsia="Times New Roman" w:hAnsi="Times New Roman" w:cs="Times New Roman"/>
          <w:sz w:val="24"/>
          <w:szCs w:val="24"/>
        </w:rPr>
      </w:pPr>
      <w:hyperlink r:id="rId13" w:history="1">
        <w:r w:rsidRPr="00A453DA">
          <w:rPr>
            <w:rFonts w:ascii="Times New Roman" w:eastAsia="Times New Roman" w:hAnsi="Times New Roman" w:cs="Times New Roman"/>
            <w:i/>
            <w:iCs/>
            <w:color w:val="0000FF"/>
            <w:sz w:val="24"/>
            <w:szCs w:val="24"/>
            <w:u w:val="single"/>
          </w:rPr>
          <w:t>Journal of Prevention</w:t>
        </w:r>
      </w:hyperlink>
      <w:r w:rsidRPr="00A453DA">
        <w:rPr>
          <w:rFonts w:ascii="Times New Roman" w:eastAsia="Times New Roman" w:hAnsi="Times New Roman" w:cs="Times New Roman"/>
          <w:sz w:val="24"/>
          <w:szCs w:val="24"/>
        </w:rPr>
        <w:t xml:space="preserve"> </w:t>
      </w:r>
      <w:r w:rsidRPr="00A453DA">
        <w:rPr>
          <w:rFonts w:ascii="Times New Roman" w:eastAsia="Times New Roman" w:hAnsi="Times New Roman" w:cs="Times New Roman"/>
          <w:b/>
          <w:bCs/>
          <w:sz w:val="24"/>
          <w:szCs w:val="24"/>
        </w:rPr>
        <w:t>volume 43</w:t>
      </w:r>
      <w:r w:rsidRPr="00A453DA">
        <w:rPr>
          <w:rFonts w:ascii="Times New Roman" w:eastAsia="Times New Roman" w:hAnsi="Times New Roman" w:cs="Times New Roman"/>
          <w:sz w:val="24"/>
          <w:szCs w:val="24"/>
        </w:rPr>
        <w:t>, pages 841–857 (2022</w:t>
      </w:r>
      <w:proofErr w:type="gramStart"/>
      <w:r w:rsidRPr="00A453DA">
        <w:rPr>
          <w:rFonts w:ascii="Times New Roman" w:eastAsia="Times New Roman" w:hAnsi="Times New Roman" w:cs="Times New Roman"/>
          <w:sz w:val="24"/>
          <w:szCs w:val="24"/>
        </w:rPr>
        <w:t>)</w:t>
      </w:r>
      <w:proofErr w:type="gramEnd"/>
      <w:hyperlink r:id="rId14" w:anchor="citeas" w:history="1">
        <w:r w:rsidRPr="00A453DA">
          <w:rPr>
            <w:rFonts w:ascii="Times New Roman" w:eastAsia="Times New Roman" w:hAnsi="Times New Roman" w:cs="Times New Roman"/>
            <w:color w:val="0000FF"/>
            <w:sz w:val="24"/>
            <w:szCs w:val="24"/>
            <w:u w:val="single"/>
          </w:rPr>
          <w:t>Cite this article</w:t>
        </w:r>
      </w:hyperlink>
      <w:r w:rsidRPr="00A453DA">
        <w:rPr>
          <w:rFonts w:ascii="Times New Roman" w:eastAsia="Times New Roman" w:hAnsi="Times New Roman" w:cs="Times New Roman"/>
          <w:sz w:val="24"/>
          <w:szCs w:val="24"/>
        </w:rPr>
        <w:t xml:space="preserve"> </w:t>
      </w:r>
    </w:p>
    <w:p w:rsidR="00A453DA" w:rsidRPr="00A453DA" w:rsidRDefault="00A453DA" w:rsidP="00A453DA">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A453DA">
        <w:rPr>
          <w:rFonts w:ascii="Times New Roman" w:eastAsia="Times New Roman" w:hAnsi="Times New Roman" w:cs="Times New Roman"/>
          <w:sz w:val="24"/>
          <w:szCs w:val="24"/>
        </w:rPr>
        <w:t>364 Accesses</w:t>
      </w:r>
    </w:p>
    <w:p w:rsidR="00A453DA" w:rsidRPr="00A453DA" w:rsidRDefault="00A453DA" w:rsidP="00A453DA">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15" w:history="1">
        <w:r w:rsidRPr="00A453DA">
          <w:rPr>
            <w:rFonts w:ascii="Times New Roman" w:eastAsia="Times New Roman" w:hAnsi="Times New Roman" w:cs="Times New Roman"/>
            <w:color w:val="0000FF"/>
            <w:sz w:val="24"/>
            <w:szCs w:val="24"/>
            <w:u w:val="single"/>
          </w:rPr>
          <w:t>Metrics details</w:t>
        </w:r>
      </w:hyperlink>
    </w:p>
    <w:p w:rsidR="00A453DA" w:rsidRPr="00A453DA" w:rsidRDefault="00A453DA" w:rsidP="00A453D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A453DA">
        <w:rPr>
          <w:rFonts w:ascii="Times New Roman" w:eastAsia="Times New Roman" w:hAnsi="Times New Roman" w:cs="Times New Roman"/>
          <w:b/>
          <w:bCs/>
          <w:sz w:val="36"/>
          <w:szCs w:val="36"/>
        </w:rPr>
        <w:t>Abstract</w:t>
      </w:r>
    </w:p>
    <w:p w:rsidR="00A453DA" w:rsidRPr="00A453DA" w:rsidRDefault="00A453DA" w:rsidP="00A453DA">
      <w:pPr>
        <w:bidi w:val="0"/>
        <w:spacing w:before="100" w:beforeAutospacing="1" w:after="100" w:afterAutospacing="1" w:line="240" w:lineRule="auto"/>
        <w:rPr>
          <w:rFonts w:ascii="Times New Roman" w:eastAsia="Times New Roman" w:hAnsi="Times New Roman" w:cs="Times New Roman"/>
          <w:sz w:val="24"/>
          <w:szCs w:val="24"/>
        </w:rPr>
      </w:pPr>
      <w:r w:rsidRPr="00A453DA">
        <w:rPr>
          <w:rFonts w:ascii="Times New Roman" w:eastAsia="Times New Roman" w:hAnsi="Times New Roman" w:cs="Times New Roman"/>
          <w:sz w:val="24"/>
          <w:szCs w:val="24"/>
        </w:rPr>
        <w:t xml:space="preserve">Despite increasing global attention to the national human papillomavirus (HPV) immunization program, this program is controversial in Iran. Evidence indicates that HPV vaccination is not cost-effective in Iran. Using cost-effectiveness analysis for decision-making about public health interventions such as vaccination is controversial because its potential benefits may not fit this framework. This study aimed to evaluate the economic effects of the HPV vaccination by cost–benefit analysis (CBA) using bivalent and </w:t>
      </w:r>
      <w:proofErr w:type="spellStart"/>
      <w:r w:rsidRPr="00A453DA">
        <w:rPr>
          <w:rFonts w:ascii="Times New Roman" w:eastAsia="Times New Roman" w:hAnsi="Times New Roman" w:cs="Times New Roman"/>
          <w:sz w:val="24"/>
          <w:szCs w:val="24"/>
        </w:rPr>
        <w:t>quadrivalent</w:t>
      </w:r>
      <w:proofErr w:type="spellEnd"/>
      <w:r w:rsidRPr="00A453DA">
        <w:rPr>
          <w:rFonts w:ascii="Times New Roman" w:eastAsia="Times New Roman" w:hAnsi="Times New Roman" w:cs="Times New Roman"/>
          <w:sz w:val="24"/>
          <w:szCs w:val="24"/>
        </w:rPr>
        <w:t xml:space="preserve"> in Iran in 2020. We performed a CBA from a societal perspective. We used two approaches of the vaccine’s economic benefits: willingness to pay by discrete choice experiment and cost of illness. Costs only included the vaccine cost. The cost of two doses of bivalent and </w:t>
      </w:r>
      <w:proofErr w:type="spellStart"/>
      <w:r w:rsidRPr="00A453DA">
        <w:rPr>
          <w:rFonts w:ascii="Times New Roman" w:eastAsia="Times New Roman" w:hAnsi="Times New Roman" w:cs="Times New Roman"/>
          <w:sz w:val="24"/>
          <w:szCs w:val="24"/>
        </w:rPr>
        <w:t>quadrivalent</w:t>
      </w:r>
      <w:proofErr w:type="spellEnd"/>
      <w:r w:rsidRPr="00A453DA">
        <w:rPr>
          <w:rFonts w:ascii="Times New Roman" w:eastAsia="Times New Roman" w:hAnsi="Times New Roman" w:cs="Times New Roman"/>
          <w:sz w:val="24"/>
          <w:szCs w:val="24"/>
        </w:rPr>
        <w:t xml:space="preserve"> vaccines were US $29 and the US $151, respectively (US $1 = IRR 42,000). The benefits of bivalent and </w:t>
      </w:r>
      <w:proofErr w:type="spellStart"/>
      <w:r w:rsidRPr="00A453DA">
        <w:rPr>
          <w:rFonts w:ascii="Times New Roman" w:eastAsia="Times New Roman" w:hAnsi="Times New Roman" w:cs="Times New Roman"/>
          <w:sz w:val="24"/>
          <w:szCs w:val="24"/>
        </w:rPr>
        <w:t>quadrivalent</w:t>
      </w:r>
      <w:proofErr w:type="spellEnd"/>
      <w:r w:rsidRPr="00A453DA">
        <w:rPr>
          <w:rFonts w:ascii="Times New Roman" w:eastAsia="Times New Roman" w:hAnsi="Times New Roman" w:cs="Times New Roman"/>
          <w:sz w:val="24"/>
          <w:szCs w:val="24"/>
        </w:rPr>
        <w:t xml:space="preserve"> vaccines were US $ − 432, US $380 per person using the willingness to pay approach, and they were US $7375 and US $6590 thorough cost-of-illness approach. The cost–benefit ratio (CBR) of bivalent and </w:t>
      </w:r>
      <w:proofErr w:type="spellStart"/>
      <w:r w:rsidRPr="00A453DA">
        <w:rPr>
          <w:rFonts w:ascii="Times New Roman" w:eastAsia="Times New Roman" w:hAnsi="Times New Roman" w:cs="Times New Roman"/>
          <w:sz w:val="24"/>
          <w:szCs w:val="24"/>
        </w:rPr>
        <w:t>quadrivalent</w:t>
      </w:r>
      <w:proofErr w:type="spellEnd"/>
      <w:r w:rsidRPr="00A453DA">
        <w:rPr>
          <w:rFonts w:ascii="Times New Roman" w:eastAsia="Times New Roman" w:hAnsi="Times New Roman" w:cs="Times New Roman"/>
          <w:sz w:val="24"/>
          <w:szCs w:val="24"/>
        </w:rPr>
        <w:t xml:space="preserve"> vaccines was − 15.11 and 2.51 by the willingness to pay approach, and 258.12 and 43.51 by the cost of illness approach. This study confirms the benefits of the national bivalent and </w:t>
      </w:r>
      <w:proofErr w:type="spellStart"/>
      <w:r w:rsidRPr="00A453DA">
        <w:rPr>
          <w:rFonts w:ascii="Times New Roman" w:eastAsia="Times New Roman" w:hAnsi="Times New Roman" w:cs="Times New Roman"/>
          <w:sz w:val="24"/>
          <w:szCs w:val="24"/>
        </w:rPr>
        <w:t>quadrivalent</w:t>
      </w:r>
      <w:proofErr w:type="spellEnd"/>
      <w:r w:rsidRPr="00A453DA">
        <w:rPr>
          <w:rFonts w:ascii="Times New Roman" w:eastAsia="Times New Roman" w:hAnsi="Times New Roman" w:cs="Times New Roman"/>
          <w:sz w:val="24"/>
          <w:szCs w:val="24"/>
        </w:rPr>
        <w:t xml:space="preserve"> vaccination programs and provides reliable evidence for policy-makers programming HPV vaccination.</w:t>
      </w:r>
    </w:p>
    <w:p w:rsidR="00577FCF" w:rsidRDefault="00577FCF" w:rsidP="00A453DA">
      <w:pPr>
        <w:bidi w:val="0"/>
        <w:rPr>
          <w:rFonts w:hint="cs"/>
        </w:rPr>
      </w:pPr>
    </w:p>
    <w:sectPr w:rsidR="00577FCF" w:rsidSect="006D7AD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4122"/>
    <w:multiLevelType w:val="multilevel"/>
    <w:tmpl w:val="EB3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86E1B"/>
    <w:multiLevelType w:val="multilevel"/>
    <w:tmpl w:val="98A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B2C38"/>
    <w:multiLevelType w:val="multilevel"/>
    <w:tmpl w:val="4CA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DA"/>
    <w:rsid w:val="00577FCF"/>
    <w:rsid w:val="006D7ADF"/>
    <w:rsid w:val="00A453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0652">
      <w:bodyDiv w:val="1"/>
      <w:marLeft w:val="0"/>
      <w:marRight w:val="0"/>
      <w:marTop w:val="0"/>
      <w:marBottom w:val="0"/>
      <w:divBdr>
        <w:top w:val="none" w:sz="0" w:space="0" w:color="auto"/>
        <w:left w:val="none" w:sz="0" w:space="0" w:color="auto"/>
        <w:bottom w:val="none" w:sz="0" w:space="0" w:color="auto"/>
        <w:right w:val="none" w:sz="0" w:space="0" w:color="auto"/>
      </w:divBdr>
      <w:divsChild>
        <w:div w:id="1205211484">
          <w:marLeft w:val="0"/>
          <w:marRight w:val="0"/>
          <w:marTop w:val="0"/>
          <w:marBottom w:val="0"/>
          <w:divBdr>
            <w:top w:val="none" w:sz="0" w:space="0" w:color="auto"/>
            <w:left w:val="none" w:sz="0" w:space="0" w:color="auto"/>
            <w:bottom w:val="none" w:sz="0" w:space="0" w:color="auto"/>
            <w:right w:val="none" w:sz="0" w:space="0" w:color="auto"/>
          </w:divBdr>
          <w:divsChild>
            <w:div w:id="624627178">
              <w:marLeft w:val="0"/>
              <w:marRight w:val="0"/>
              <w:marTop w:val="0"/>
              <w:marBottom w:val="0"/>
              <w:divBdr>
                <w:top w:val="none" w:sz="0" w:space="0" w:color="auto"/>
                <w:left w:val="none" w:sz="0" w:space="0" w:color="auto"/>
                <w:bottom w:val="none" w:sz="0" w:space="0" w:color="auto"/>
                <w:right w:val="none" w:sz="0" w:space="0" w:color="auto"/>
              </w:divBdr>
              <w:divsChild>
                <w:div w:id="1686202973">
                  <w:marLeft w:val="0"/>
                  <w:marRight w:val="0"/>
                  <w:marTop w:val="0"/>
                  <w:marBottom w:val="0"/>
                  <w:divBdr>
                    <w:top w:val="none" w:sz="0" w:space="0" w:color="auto"/>
                    <w:left w:val="none" w:sz="0" w:space="0" w:color="auto"/>
                    <w:bottom w:val="none" w:sz="0" w:space="0" w:color="auto"/>
                    <w:right w:val="none" w:sz="0" w:space="0" w:color="auto"/>
                  </w:divBdr>
                  <w:divsChild>
                    <w:div w:id="17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7080">
          <w:marLeft w:val="0"/>
          <w:marRight w:val="0"/>
          <w:marTop w:val="0"/>
          <w:marBottom w:val="0"/>
          <w:divBdr>
            <w:top w:val="none" w:sz="0" w:space="0" w:color="auto"/>
            <w:left w:val="none" w:sz="0" w:space="0" w:color="auto"/>
            <w:bottom w:val="none" w:sz="0" w:space="0" w:color="auto"/>
            <w:right w:val="none" w:sz="0" w:space="0" w:color="auto"/>
          </w:divBdr>
          <w:divsChild>
            <w:div w:id="1212957720">
              <w:marLeft w:val="0"/>
              <w:marRight w:val="0"/>
              <w:marTop w:val="0"/>
              <w:marBottom w:val="0"/>
              <w:divBdr>
                <w:top w:val="none" w:sz="0" w:space="0" w:color="auto"/>
                <w:left w:val="none" w:sz="0" w:space="0" w:color="auto"/>
                <w:bottom w:val="none" w:sz="0" w:space="0" w:color="auto"/>
                <w:right w:val="none" w:sz="0" w:space="0" w:color="auto"/>
              </w:divBdr>
              <w:divsChild>
                <w:div w:id="1377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935-022-00697-w" TargetMode="External"/><Relationship Id="rId13" Type="http://schemas.openxmlformats.org/officeDocument/2006/relationships/hyperlink" Target="https://link.springer.com/journal/10935" TargetMode="External"/><Relationship Id="rId3" Type="http://schemas.microsoft.com/office/2007/relationships/stylesWithEffects" Target="stylesWithEffects.xml"/><Relationship Id="rId7" Type="http://schemas.openxmlformats.org/officeDocument/2006/relationships/hyperlink" Target="https://link.springer.com/article/10.1007/s10935-022-00697-w" TargetMode="External"/><Relationship Id="rId12" Type="http://schemas.openxmlformats.org/officeDocument/2006/relationships/hyperlink" Target="https://link.springer.com/article/10.1007/s10935-022-00697-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k.springer.com/article/10.1007/s10935-022-00697-w" TargetMode="External"/><Relationship Id="rId11" Type="http://schemas.openxmlformats.org/officeDocument/2006/relationships/hyperlink" Target="https://link.springer.com/article/10.1007/s10935-022-00697-w" TargetMode="External"/><Relationship Id="rId5" Type="http://schemas.openxmlformats.org/officeDocument/2006/relationships/webSettings" Target="webSettings.xml"/><Relationship Id="rId15" Type="http://schemas.openxmlformats.org/officeDocument/2006/relationships/hyperlink" Target="https://link.springer.com/article/10.1007/s10935-022-00697-w/metrics" TargetMode="External"/><Relationship Id="rId10" Type="http://schemas.openxmlformats.org/officeDocument/2006/relationships/hyperlink" Target="https://link.springer.com/article/10.1007/s10935-022-00697-w" TargetMode="External"/><Relationship Id="rId4" Type="http://schemas.openxmlformats.org/officeDocument/2006/relationships/settings" Target="settings.xml"/><Relationship Id="rId9" Type="http://schemas.openxmlformats.org/officeDocument/2006/relationships/hyperlink" Target="https://link.springer.com/article/10.1007/s10935-022-00697-w" TargetMode="External"/><Relationship Id="rId14" Type="http://schemas.openxmlformats.org/officeDocument/2006/relationships/hyperlink" Target="https://link.springer.com/article/10.1007/s10935-022-0069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2023-10-30T05:21:00Z</dcterms:created>
  <dcterms:modified xsi:type="dcterms:W3CDTF">2023-10-30T05:24:00Z</dcterms:modified>
</cp:coreProperties>
</file>